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spacing w:after="0" w:line="240" w:lineRule="auto"/>
        <w:rPr>
          <w:b w:val="1"/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  <w:r>
        <w:rPr>
          <w:b w:val="1"/>
          <w:sz w:val="28.0"/>
          <w:szCs w:val="24.0"/>
          <w:rFonts w:ascii="Times New Roman" w:cs="Times New Roman" w:eastAsia="Times New Roman" w:hAnsi="Times New Roman"/>
          <w:lang w:bidi="ar-sa" w:eastAsia="ru-ru"/>
          <w:kern w:val="1"/>
        </w:rPr>
        <w:t xml:space="preserve">Общественные слушания профессионального стандарта </w:t>
      </w:r>
    </w:p>
    <w:p>
      <w:pPr>
        <w:jc w:val="center"/>
        <w:spacing w:after="0" w:line="240" w:lineRule="auto"/>
        <w:rPr>
          <w:b w:val="1"/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  <w:r>
        <w:rPr>
          <w:b w:val="1"/>
          <w:sz w:val="28.0"/>
          <w:szCs w:val="24.0"/>
          <w:rFonts w:ascii="Times New Roman" w:cs="Times New Roman" w:eastAsia="Times New Roman" w:hAnsi="Times New Roman"/>
          <w:lang w:bidi="ar-sa" w:eastAsia="ru-ru"/>
          <w:kern w:val="1"/>
        </w:rPr>
        <w:t>«Специалист административно-хозяйственной деятельности»</w:t>
      </w:r>
    </w:p>
    <w:p>
      <w:pPr>
        <w:jc w:val="center"/>
        <w:spacing w:after="0" w:line="240" w:lineRule="auto"/>
        <w:rPr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</w:p>
    <w:p>
      <w:pPr>
        <w:jc w:val="center"/>
        <w:spacing w:after="0" w:line="240" w:lineRule="auto"/>
        <w:rPr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  <w:r>
        <w:rPr>
          <w:sz w:val="28.0"/>
          <w:szCs w:val="24.0"/>
          <w:rFonts w:ascii="Times New Roman" w:cs="Times New Roman" w:eastAsia="Times New Roman" w:hAnsi="Times New Roman"/>
          <w:lang w:bidi="ar-sa" w:eastAsia="ru-ru"/>
          <w:kern w:val="1"/>
        </w:rPr>
        <w:t>Организация-разработчик</w:t>
      </w:r>
    </w:p>
    <w:p>
      <w:pPr>
        <w:jc w:val="center"/>
        <w:spacing w:after="0" w:line="240" w:lineRule="auto"/>
        <w:rPr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  <w:r>
        <w:rPr>
          <w:sz w:val="28.0"/>
          <w:szCs w:val="24.0"/>
          <w:rFonts w:ascii="Times New Roman" w:cs="Times New Roman" w:eastAsia="Times New Roman" w:hAnsi="Times New Roman"/>
          <w:lang w:bidi="ar-sa" w:eastAsia="ru-ru"/>
          <w:kern w:val="1"/>
        </w:rPr>
        <w:t>НП "Объединение административно-хозяйственных профессионалов"</w:t>
      </w:r>
    </w:p>
    <w:p>
      <w:pPr>
        <w:jc w:val="both"/>
        <w:spacing w:after="0" w:line="240" w:lineRule="auto"/>
        <w:rPr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</w:p>
    <w:tbl>
      <w:tblPr>
        <w:tblW w:w="4703" w:type="pct"/>
        <w:tblInd w:w="534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1E0"/>
      </w:tblPr>
      <w:tblGrid>
        <w:gridCol w:w="2835"/>
        <w:gridCol w:w="7233"/>
      </w:tblGrid>
      <w:tr>
        <w:trPr>
          <w:trHeight w:val="614"/>
        </w:trPr>
        <w:tc>
          <w:tcPr>
            <w:tcW w:w="5000" w:type="pct"/>
            <w:gridSpan w:val="2"/>
            <w:tcBorders/>
            <w:vAlign w:val="center"/>
            <w:shd w:val="clear" w:color="auto" w:fill="auto"/>
          </w:tcPr>
          <w:p>
            <w:pPr>
              <w:jc w:val="center"/>
              <w:spacing w:after="0" w:line="240" w:lineRule="auto"/>
              <w:rPr>
                <w:sz w:val="28.0"/>
                <w:szCs w:val="28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8.0"/>
                <w:szCs w:val="28.0"/>
                <w:rFonts w:ascii="Times New Roman" w:cs="Times New Roman" w:eastAsia="Times New Roman" w:hAnsi="Times New Roman"/>
                <w:lang w:bidi="ar-sa" w:eastAsia="ru-ru"/>
                <w:kern w:val="1"/>
              </w:rPr>
              <w:t>Данные участника общественных слушаний</w:t>
            </w:r>
          </w:p>
        </w:tc>
      </w:tr>
      <w:tr>
        <w:trPr/>
        <w:tc>
          <w:tcPr>
            <w:tcW w:w="1408" w:type="pct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 xml:space="preserve">Фамилия, имя, отчество </w:t>
            </w:r>
          </w:p>
        </w:tc>
        <w:tc>
          <w:tcPr>
            <w:tcW w:w="3592" w:type="pct"/>
            <w:tcBorders/>
            <w:vAlign w:val="top"/>
            <w:shd w:val="clear" w:color="auto" w:fill="auto"/>
          </w:tcPr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>Букарева Евгения Борисовна</w:t>
            </w: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</w:tc>
      </w:tr>
      <w:tr>
        <w:trPr/>
        <w:tc>
          <w:tcPr>
            <w:tcW w:w="1408" w:type="pct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 xml:space="preserve">Место работы </w:t>
            </w:r>
          </w:p>
        </w:tc>
        <w:tc>
          <w:tcPr>
            <w:tcW w:w="3592" w:type="pct"/>
            <w:tcBorders/>
            <w:vAlign w:val="top"/>
            <w:shd w:val="clear" w:color="auto" w:fill="auto"/>
          </w:tcPr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>Центр толерантности</w:t>
            </w: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</w:tc>
      </w:tr>
      <w:tr>
        <w:trPr/>
        <w:tc>
          <w:tcPr>
            <w:tcW w:w="1408" w:type="pct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 xml:space="preserve">Занимаемая должность </w:t>
            </w:r>
          </w:p>
        </w:tc>
        <w:tc>
          <w:tcPr>
            <w:tcW w:w="3592" w:type="pct"/>
            <w:tcBorders/>
            <w:vAlign w:val="top"/>
            <w:shd w:val="clear" w:color="auto" w:fill="auto"/>
          </w:tcPr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>Секретарь</w:t>
            </w: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</w:tc>
      </w:tr>
      <w:tr>
        <w:trPr/>
        <w:tc>
          <w:tcPr>
            <w:tcW w:w="1408" w:type="pct"/>
            <w:tcBorders/>
            <w:vAlign w:val="top"/>
            <w:shd w:val="clear" w:color="auto" w:fill="auto"/>
          </w:tcPr>
          <w:p>
            <w:pPr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>Другая информация</w:t>
            </w:r>
          </w:p>
        </w:tc>
        <w:tc>
          <w:tcPr>
            <w:tcW w:w="3592" w:type="pct"/>
            <w:tcBorders/>
            <w:vAlign w:val="top"/>
            <w:shd w:val="clear" w:color="auto" w:fill="auto"/>
          </w:tcPr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spacing w:after="0" w:line="240" w:lineRule="auto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</w:tc>
      </w:tr>
    </w:tbl>
    <w:p>
      <w:pPr>
        <w:jc w:val="both"/>
        <w:spacing w:after="0" w:line="240" w:lineRule="auto"/>
        <w:rPr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</w:p>
    <w:p>
      <w:pPr>
        <w:jc w:val="both"/>
        <w:spacing w:after="0" w:line="240" w:lineRule="auto"/>
        <w:ind w:left="426"/>
        <w:rPr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  <w:r>
        <w:rPr>
          <w:sz w:val="28.0"/>
          <w:szCs w:val="24.0"/>
          <w:rFonts w:ascii="Times New Roman" w:cs="Times New Roman" w:eastAsia="Times New Roman" w:hAnsi="Times New Roman"/>
          <w:lang w:bidi="ar-sa" w:eastAsia="ru-ru"/>
          <w:kern w:val="1"/>
        </w:rPr>
        <w:t>Оценка профессионального стандарта «Специалист административно-хозяйственной деятельности»</w:t>
      </w:r>
    </w:p>
    <w:p>
      <w:pPr>
        <w:jc w:val="both"/>
        <w:spacing w:after="0" w:line="240" w:lineRule="auto"/>
        <w:rPr>
          <w:sz w:val="28.0"/>
          <w:szCs w:val="24.0"/>
          <w:rFonts w:ascii="Times New Roman" w:cs="Times New Roman" w:eastAsia="Times New Roman" w:hAnsi="Times New Roman"/>
          <w:lang w:eastAsia="ru-ru"/>
          <w:kern w:val="1"/>
        </w:rPr>
      </w:pPr>
    </w:p>
    <w:tbl>
      <w:tblPr>
        <w:tblStyle w:val="1"/>
        <w:tblW w:w="10064" w:type="dxa"/>
        <w:tblInd w:w="534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4A0"/>
      </w:tblPr>
      <w:tblGrid>
        <w:gridCol w:w="2835"/>
        <w:gridCol w:w="7229"/>
      </w:tblGrid>
      <w:tr>
        <w:trPr/>
        <w:tc>
          <w:tcPr>
            <w:tcW w:w="2835" w:type="dxa"/>
            <w:tcBorders/>
            <w:vAlign w:val="top"/>
          </w:tcPr>
          <w:p>
            <w:pPr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>Замечания к профессиональному стандарту</w:t>
            </w:r>
          </w:p>
        </w:tc>
        <w:tc>
          <w:tcPr>
            <w:tcW w:w="7229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 xml:space="preserve">В целом, стандарт хороший. Профессионально, терминологично составлен. </w:t>
            </w: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</w:tc>
      </w:tr>
      <w:tr>
        <w:trPr/>
        <w:tc>
          <w:tcPr>
            <w:tcW w:w="2835" w:type="dxa"/>
            <w:tcBorders/>
            <w:vAlign w:val="top"/>
          </w:tcPr>
          <w:p>
            <w:pPr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>Вопросы по профессиональному стандарту</w:t>
            </w:r>
          </w:p>
        </w:tc>
        <w:tc>
          <w:tcPr>
            <w:tcW w:w="7229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  <w:r>
              <w:rPr>
                <w:sz w:val="24.0"/>
                <w:szCs w:val="24.0"/>
                <w:rFonts w:ascii="Times New Roman" w:cs="Times New Roman" w:eastAsia="Times New Roman" w:hAnsi="Times New Roman"/>
                <w:lang w:bidi="ar-sa" w:eastAsia="ru-ru"/>
                <w:kern w:val="1"/>
              </w:rPr>
              <w:t>Какой психологический тип подходит специалисту АХД?</w:t>
            </w: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  <w:p>
            <w:pPr>
              <w:jc w:val="both"/>
              <w:rPr>
                <w:sz w:val="24.0"/>
                <w:szCs w:val="24.0"/>
                <w:rFonts w:ascii="Times New Roman" w:cs="Times New Roman" w:eastAsia="Times New Roman" w:hAnsi="Times New Roman"/>
                <w:lang w:eastAsia="ru-ru"/>
                <w:kern w:val="1"/>
              </w:rPr>
            </w:pPr>
          </w:p>
        </w:tc>
      </w:tr>
    </w:tbl>
    <w:p>
      <w:pPr>
        <w:rPr>
          <w:u w:val="single"/>
          <w:rFonts w:ascii="Times New Roman" w:cs="Times New Roman" w:hAnsi="Times New Roman"/>
        </w:rPr>
      </w:pPr>
    </w:p>
    <w:sectPr>
      <w:footerReference w:type="default" r:id="rId9"/>
      <w:pgSz w:w="11906" w:h="16838" w:orient="portrait"/>
      <w:pgMar w:bottom="851" w:top="1134" w:right="851" w:left="567" w:header="709" w:footer="182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6"/>
    </w:pPr>
    <w:r>
      <w:t>______________________ /____________________/  «_____» ________________201__г.</w:t>
    </w:r>
  </w:p>
  <w:p>
    <w:pPr>
      <w:pStyle w:val="a6"/>
    </w:pPr>
    <w:r>
      <w:t xml:space="preserve">            (подпись)                                (Ф.И.О.) </w:t>
    </w:r>
  </w:p>
  <w:p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720" w:hanging="360"/>
      </w:p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160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320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7"/>
    <w:rsid w:val="00000F83"/>
    <w:rsid w:val="00093C63"/>
    <w:rsid w:val="000F6496"/>
    <w:rsid w:val="001B79F0"/>
    <w:rsid w:val="003354BC"/>
    <w:rsid w:val="004F737A"/>
    <w:rsid w:val="005229B4"/>
    <w:rsid w:val="005A509F"/>
    <w:rsid w:val="006159EA"/>
    <w:rsid w:val="00812E8F"/>
    <w:rsid w:val="008274D8"/>
    <w:rsid w:val="008F6B77"/>
    <w:rsid w:val="00903837"/>
    <w:rsid w:val="0096754E"/>
    <w:rsid w:val="00AB3925"/>
    <w:rsid w:val="00BF3725"/>
    <w:rsid w:val="00CE0B44"/>
    <w:rsid w:val="00D663B3"/>
    <w:rsid w:val="00DA2FFE"/>
    <w:rsid w:val="00E87B66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table" w:customStyle="1" w:styleId="1">
    <w:name w:val="Сетка таблицы1"/>
    <w:basedOn w:val="a1"/>
    <w:uiPriority w:val="39"/>
    <w:pPr>
      <w:spacing w:after="0" w:line="240" w:lineRule="auto"/>
    </w:pPr>
    <w:tblPr>
      <w:tblW w:w="0" w:type="nil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styleId="a3">
    <w:name w:val="Table Grid"/>
    <w:basedOn w:val="a1"/>
    <w:uiPriority w:val="59"/>
    <w:pPr>
      <w:spacing w:after="0" w:line="240" w:lineRule="auto"/>
    </w:pPr>
    <w:tblPr>
      <w:tblW w:w="0" w:type="nil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paragraph" w:styleId="a4">
    <w:name w:val="header"/>
    <w:link w:val="a5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basedOn w:val="a0"/>
    <w:uiPriority w:val="99"/>
  </w:style>
  <w:style w:type="paragraph" w:styleId="a6">
    <w:name w:val="footer"/>
    <w:link w:val="a7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1BF3-8576-42B0-AAF7-035B3EA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Таша</cp:lastModifiedBy>
  <cp:revision>2</cp:revision>
  <dcterms:created xsi:type="dcterms:W3CDTF">2015-08-26T22:16:00Z</dcterms:created>
  <dcterms:modified xsi:type="dcterms:W3CDTF">2015-08-26T22:16:00Z</dcterms:modified>
</cp:coreProperties>
</file>